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AE4" w:rsidRPr="00B46AE4" w:rsidRDefault="00B46AE4" w:rsidP="00B46AE4">
      <w:pPr>
        <w:rPr>
          <w:b/>
          <w:i/>
          <w:color w:val="2F5496" w:themeColor="accent1" w:themeShade="BF"/>
          <w:sz w:val="28"/>
        </w:rPr>
      </w:pPr>
      <w:r w:rsidRPr="00B46AE4">
        <w:rPr>
          <w:b/>
          <w:i/>
          <w:color w:val="2F5496" w:themeColor="accent1" w:themeShade="BF"/>
          <w:sz w:val="28"/>
        </w:rPr>
        <w:t>DE NIEUWE ZORGSTANDAARD ADHD Hoe te implementeren in de dagelijkse praktijk?</w:t>
      </w:r>
      <w:r w:rsidRPr="00B46AE4">
        <w:rPr>
          <w:b/>
          <w:i/>
          <w:color w:val="2F5496" w:themeColor="accent1" w:themeShade="BF"/>
          <w:sz w:val="28"/>
        </w:rPr>
        <w:br/>
      </w:r>
    </w:p>
    <w:p w:rsidR="00B46AE4" w:rsidRPr="00B46AE4" w:rsidRDefault="00B46AE4" w:rsidP="00B46AE4">
      <w:pPr>
        <w:rPr>
          <w:i/>
          <w:color w:val="2F5496" w:themeColor="accent1" w:themeShade="BF"/>
        </w:rPr>
      </w:pPr>
      <w:r w:rsidRPr="00B46AE4">
        <w:rPr>
          <w:i/>
          <w:color w:val="2F5496" w:themeColor="accent1" w:themeShade="BF"/>
        </w:rPr>
        <w:t xml:space="preserve"> </w:t>
      </w:r>
      <w:r w:rsidR="00571E93">
        <w:rPr>
          <w:i/>
          <w:noProof/>
          <w:color w:val="2F5496" w:themeColor="accent1" w:themeShade="BF"/>
        </w:rPr>
        <w:drawing>
          <wp:inline distT="0" distB="0" distL="0" distR="0" wp14:anchorId="2662FB5C">
            <wp:extent cx="1426845" cy="101219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845" cy="1012190"/>
                    </a:xfrm>
                    <a:prstGeom prst="rect">
                      <a:avLst/>
                    </a:prstGeom>
                    <a:noFill/>
                  </pic:spPr>
                </pic:pic>
              </a:graphicData>
            </a:graphic>
          </wp:inline>
        </w:drawing>
      </w:r>
      <w:r w:rsidR="00571E93">
        <w:rPr>
          <w:i/>
          <w:color w:val="2F5496" w:themeColor="accent1" w:themeShade="BF"/>
        </w:rPr>
        <w:t xml:space="preserve">                                                      </w:t>
      </w:r>
      <w:r w:rsidR="00571E93">
        <w:rPr>
          <w:i/>
          <w:noProof/>
          <w:color w:val="2F5496" w:themeColor="accent1" w:themeShade="BF"/>
        </w:rPr>
        <w:drawing>
          <wp:inline distT="0" distB="0" distL="0" distR="0" wp14:anchorId="6B60971D">
            <wp:extent cx="1524000" cy="6280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628015"/>
                    </a:xfrm>
                    <a:prstGeom prst="rect">
                      <a:avLst/>
                    </a:prstGeom>
                    <a:noFill/>
                  </pic:spPr>
                </pic:pic>
              </a:graphicData>
            </a:graphic>
          </wp:inline>
        </w:drawing>
      </w:r>
      <w:r w:rsidR="00571E93">
        <w:rPr>
          <w:i/>
          <w:color w:val="2F5496" w:themeColor="accent1" w:themeShade="BF"/>
        </w:rPr>
        <w:t xml:space="preserve">                                                            </w:t>
      </w:r>
      <w:r w:rsidR="00571E93">
        <w:rPr>
          <w:i/>
          <w:noProof/>
          <w:color w:val="2F5496" w:themeColor="accent1" w:themeShade="BF"/>
        </w:rPr>
        <w:drawing>
          <wp:inline distT="0" distB="0" distL="0" distR="0" wp14:anchorId="6D383C2B">
            <wp:extent cx="1713230" cy="640080"/>
            <wp:effectExtent l="0" t="0" r="127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640080"/>
                    </a:xfrm>
                    <a:prstGeom prst="rect">
                      <a:avLst/>
                    </a:prstGeom>
                    <a:noFill/>
                  </pic:spPr>
                </pic:pic>
              </a:graphicData>
            </a:graphic>
          </wp:inline>
        </w:drawing>
      </w:r>
    </w:p>
    <w:p w:rsidR="00B46AE4" w:rsidRPr="001B5F75" w:rsidRDefault="001B5F75" w:rsidP="00B46AE4">
      <w:pPr>
        <w:spacing w:after="0" w:line="240" w:lineRule="auto"/>
        <w:rPr>
          <w:color w:val="2F5496" w:themeColor="accent1" w:themeShade="BF"/>
          <w:sz w:val="24"/>
        </w:rPr>
      </w:pPr>
      <w:r>
        <w:rPr>
          <w:i/>
          <w:color w:val="2F5496" w:themeColor="accent1" w:themeShade="BF"/>
          <w:sz w:val="24"/>
        </w:rPr>
        <w:br/>
      </w:r>
      <w:r w:rsidR="00B46AE4" w:rsidRPr="001B5F75">
        <w:rPr>
          <w:color w:val="2F5496" w:themeColor="accent1" w:themeShade="BF"/>
          <w:sz w:val="24"/>
        </w:rPr>
        <w:t>Graag nodigen wij u uit om deel te nemen aan een regionale multidisciplinaire scholing over de implementatie van de nieuwe zorgstandaard ADHD.</w:t>
      </w:r>
    </w:p>
    <w:p w:rsidR="00B46AE4" w:rsidRPr="001B5F75" w:rsidRDefault="00B46AE4" w:rsidP="00B46AE4">
      <w:pPr>
        <w:spacing w:after="0" w:line="240" w:lineRule="auto"/>
        <w:rPr>
          <w:color w:val="2F5496" w:themeColor="accent1" w:themeShade="BF"/>
          <w:sz w:val="24"/>
        </w:rPr>
      </w:pPr>
      <w:r w:rsidRPr="001B5F75">
        <w:rPr>
          <w:color w:val="2F5496" w:themeColor="accent1" w:themeShade="BF"/>
          <w:sz w:val="24"/>
        </w:rPr>
        <w:t>De commissie van de nieuwe zorgstandaard ADHD bij kinderen heeft een cursusleiding samengesteld met werkgroep</w:t>
      </w:r>
      <w:r w:rsidR="00571E93" w:rsidRPr="001B5F75">
        <w:rPr>
          <w:color w:val="2F5496" w:themeColor="accent1" w:themeShade="BF"/>
          <w:sz w:val="24"/>
        </w:rPr>
        <w:t xml:space="preserve"> </w:t>
      </w:r>
      <w:r w:rsidRPr="001B5F75">
        <w:rPr>
          <w:color w:val="2F5496" w:themeColor="accent1" w:themeShade="BF"/>
          <w:sz w:val="24"/>
        </w:rPr>
        <w:t xml:space="preserve">leden die aan de zorgstandaard ADHD hebben meegewerkt en afgevaardigden vanuit de relevante beroepsverenigingen. </w:t>
      </w:r>
      <w:r w:rsidR="001B5F75">
        <w:rPr>
          <w:color w:val="2F5496" w:themeColor="accent1" w:themeShade="BF"/>
          <w:sz w:val="24"/>
        </w:rPr>
        <w:t xml:space="preserve"> </w:t>
      </w:r>
      <w:r w:rsidRPr="001B5F75">
        <w:rPr>
          <w:color w:val="2F5496" w:themeColor="accent1" w:themeShade="BF"/>
          <w:sz w:val="24"/>
        </w:rPr>
        <w:t xml:space="preserve">Deze cursusleiding heeft een multidisciplinaire scholing ontwikkeld die in de maanden mei en juni op 9 plaatsen verspreid over het land wordt aangeboden. </w:t>
      </w:r>
    </w:p>
    <w:p w:rsidR="00B46AE4" w:rsidRPr="001B5F75" w:rsidRDefault="00B46AE4" w:rsidP="00B46AE4">
      <w:pPr>
        <w:spacing w:after="0" w:line="240" w:lineRule="auto"/>
        <w:rPr>
          <w:color w:val="2F5496" w:themeColor="accent1" w:themeShade="BF"/>
          <w:sz w:val="24"/>
        </w:rPr>
      </w:pPr>
      <w:r w:rsidRPr="001B5F75">
        <w:rPr>
          <w:color w:val="2F5496" w:themeColor="accent1" w:themeShade="BF"/>
          <w:sz w:val="24"/>
        </w:rPr>
        <w:t xml:space="preserve"> </w:t>
      </w:r>
    </w:p>
    <w:p w:rsidR="00B46AE4" w:rsidRPr="001B5F75" w:rsidRDefault="00B46AE4" w:rsidP="00B46AE4">
      <w:pPr>
        <w:spacing w:after="0" w:line="240" w:lineRule="auto"/>
        <w:rPr>
          <w:color w:val="2F5496" w:themeColor="accent1" w:themeShade="BF"/>
          <w:sz w:val="24"/>
        </w:rPr>
      </w:pPr>
      <w:r w:rsidRPr="001B5F75">
        <w:rPr>
          <w:color w:val="2F5496" w:themeColor="accent1" w:themeShade="BF"/>
          <w:sz w:val="24"/>
        </w:rPr>
        <w:t>Het multidisciplinaire en onafhankelijke karakter van deze niet gesponsorde scholing wordt nog eens extra onderstreept door de formele steun van de sectie sociale en psychosociale kindergeneeskunde (SSPK) van de NVK, AJN Jeugdartsen Nederland en de afdeling kinder- en jeugdpsychiatrie van de NVVP.</w:t>
      </w:r>
    </w:p>
    <w:p w:rsidR="00B46AE4" w:rsidRDefault="00571E93" w:rsidP="00B46AE4">
      <w:pPr>
        <w:spacing w:after="0" w:line="240" w:lineRule="auto"/>
        <w:rPr>
          <w:color w:val="2F5496" w:themeColor="accent1" w:themeShade="BF"/>
          <w:sz w:val="24"/>
        </w:rPr>
      </w:pPr>
      <w:r w:rsidRPr="001B5F75">
        <w:rPr>
          <w:color w:val="2F5496" w:themeColor="accent1" w:themeShade="BF"/>
          <w:sz w:val="24"/>
        </w:rPr>
        <w:br/>
      </w:r>
      <w:r w:rsidR="00B46AE4" w:rsidRPr="001B5F75">
        <w:rPr>
          <w:color w:val="2F5496" w:themeColor="accent1" w:themeShade="BF"/>
          <w:sz w:val="24"/>
        </w:rPr>
        <w:t>Er is gekozen voor een interactieve opzet, waarbij de dialoog met de deelnemers een essentieel onderdeel vormt. Bij elke sessie zijn meerdere deskundigen vanuit de diverse disciplines aanwezig om presentaties te geven en de dialoog met de deelnemers te begeleiden. Het programma duurt van 15.30 uur tot 20.30 uur. De scholing richt zich op kinderartsen, jeugdartsen, kinder- en jeugdpsychiaters, AIOS en psychologen. Voor deze beroepsgroepen wordt accreditatie aangevraagd. Overigens zijn alle zorgprofessionals met interesse in ADHD van harte welkom.</w:t>
      </w:r>
    </w:p>
    <w:p w:rsidR="001B5F75" w:rsidRDefault="001B5F75" w:rsidP="00B46AE4">
      <w:pPr>
        <w:spacing w:after="0" w:line="240" w:lineRule="auto"/>
        <w:rPr>
          <w:color w:val="2F5496" w:themeColor="accent1" w:themeShade="BF"/>
          <w:sz w:val="24"/>
        </w:rPr>
      </w:pPr>
    </w:p>
    <w:p w:rsidR="00B46AE4" w:rsidRPr="001B5F75" w:rsidRDefault="00B46AE4" w:rsidP="00B46AE4">
      <w:pPr>
        <w:spacing w:after="0" w:line="240" w:lineRule="auto"/>
        <w:rPr>
          <w:color w:val="2F5496" w:themeColor="accent1" w:themeShade="BF"/>
          <w:sz w:val="24"/>
        </w:rPr>
      </w:pPr>
      <w:bookmarkStart w:id="0" w:name="_GoBack"/>
      <w:bookmarkEnd w:id="0"/>
      <w:r w:rsidRPr="001B5F75">
        <w:rPr>
          <w:color w:val="2F5496" w:themeColor="accent1" w:themeShade="BF"/>
          <w:sz w:val="24"/>
        </w:rPr>
        <w:t xml:space="preserve"> </w:t>
      </w:r>
    </w:p>
    <w:p w:rsidR="001B5F75" w:rsidRPr="001B5F75" w:rsidRDefault="001B5F75" w:rsidP="001B5F75">
      <w:pPr>
        <w:spacing w:after="0" w:line="240" w:lineRule="auto"/>
        <w:rPr>
          <w:b/>
          <w:color w:val="2F5496" w:themeColor="accent1" w:themeShade="BF"/>
          <w:sz w:val="24"/>
        </w:rPr>
      </w:pPr>
      <w:r w:rsidRPr="001B5F75">
        <w:rPr>
          <w:b/>
          <w:color w:val="2F5496" w:themeColor="accent1" w:themeShade="BF"/>
          <w:sz w:val="24"/>
        </w:rPr>
        <w:t>Programma</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15.30 uur</w:t>
      </w:r>
      <w:r w:rsidRPr="001B5F75">
        <w:rPr>
          <w:color w:val="2F5496" w:themeColor="accent1" w:themeShade="BF"/>
          <w:sz w:val="24"/>
        </w:rPr>
        <w:tab/>
      </w:r>
      <w:r w:rsidRPr="001B5F75">
        <w:rPr>
          <w:color w:val="2F5496" w:themeColor="accent1" w:themeShade="BF"/>
          <w:sz w:val="24"/>
        </w:rPr>
        <w:t>Registratie en ontvangst met koffie/thee</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16.00 uur</w:t>
      </w:r>
      <w:r w:rsidRPr="001B5F75">
        <w:rPr>
          <w:color w:val="2F5496" w:themeColor="accent1" w:themeShade="BF"/>
          <w:sz w:val="24"/>
        </w:rPr>
        <w:tab/>
      </w:r>
      <w:r w:rsidRPr="001B5F75">
        <w:rPr>
          <w:color w:val="2F5496" w:themeColor="accent1" w:themeShade="BF"/>
          <w:sz w:val="24"/>
        </w:rPr>
        <w:t>Inleiding: definitie ADHD, uitleg over de zorgstandaard, EBRO module en generieke module</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16.45 uur</w:t>
      </w:r>
      <w:r w:rsidRPr="001B5F75">
        <w:rPr>
          <w:color w:val="2F5496" w:themeColor="accent1" w:themeShade="BF"/>
          <w:sz w:val="24"/>
        </w:rPr>
        <w:tab/>
      </w:r>
      <w:r w:rsidRPr="001B5F75">
        <w:rPr>
          <w:color w:val="2F5496" w:themeColor="accent1" w:themeShade="BF"/>
          <w:sz w:val="24"/>
        </w:rPr>
        <w:t>Zin en onzin van signalering en screening. inleiding in basis diagnostiek</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17.45 uur</w:t>
      </w:r>
      <w:r w:rsidRPr="001B5F75">
        <w:rPr>
          <w:color w:val="2F5496" w:themeColor="accent1" w:themeShade="BF"/>
          <w:sz w:val="24"/>
        </w:rPr>
        <w:tab/>
      </w:r>
      <w:r w:rsidRPr="001B5F75">
        <w:rPr>
          <w:color w:val="2F5496" w:themeColor="accent1" w:themeShade="BF"/>
          <w:sz w:val="24"/>
        </w:rPr>
        <w:t>Broodjes en soep</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18.30 uur</w:t>
      </w:r>
      <w:r w:rsidRPr="001B5F75">
        <w:rPr>
          <w:color w:val="2F5496" w:themeColor="accent1" w:themeShade="BF"/>
          <w:sz w:val="24"/>
        </w:rPr>
        <w:tab/>
      </w:r>
      <w:r w:rsidRPr="001B5F75">
        <w:rPr>
          <w:color w:val="2F5496" w:themeColor="accent1" w:themeShade="BF"/>
          <w:sz w:val="24"/>
        </w:rPr>
        <w:t xml:space="preserve">Diagnostiek verdieping, aanhaken verschillende richtlijnen (wie, wat, waar, wanneer, </w:t>
      </w:r>
      <w:proofErr w:type="spellStart"/>
      <w:r w:rsidRPr="001B5F75">
        <w:rPr>
          <w:color w:val="2F5496" w:themeColor="accent1" w:themeShade="BF"/>
          <w:sz w:val="24"/>
        </w:rPr>
        <w:t>impairment</w:t>
      </w:r>
      <w:proofErr w:type="spellEnd"/>
      <w:r w:rsidRPr="001B5F75">
        <w:rPr>
          <w:color w:val="2F5496" w:themeColor="accent1" w:themeShade="BF"/>
          <w:sz w:val="24"/>
        </w:rPr>
        <w:t xml:space="preserve"> criteria)</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19.30 uur</w:t>
      </w:r>
      <w:r w:rsidRPr="001B5F75">
        <w:rPr>
          <w:color w:val="2F5496" w:themeColor="accent1" w:themeShade="BF"/>
          <w:sz w:val="24"/>
        </w:rPr>
        <w:tab/>
      </w:r>
      <w:r w:rsidRPr="001B5F75">
        <w:rPr>
          <w:color w:val="2F5496" w:themeColor="accent1" w:themeShade="BF"/>
          <w:sz w:val="24"/>
        </w:rPr>
        <w:t>Behandeling; met o.a. aandacht voor gedragstherapie en ouderbegeleiding, medicatie, dieet, slaap, en somatisch onderzoek</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20.30 uur</w:t>
      </w:r>
      <w:r w:rsidRPr="001B5F75">
        <w:rPr>
          <w:color w:val="2F5496" w:themeColor="accent1" w:themeShade="BF"/>
          <w:sz w:val="24"/>
        </w:rPr>
        <w:tab/>
      </w:r>
      <w:r w:rsidRPr="001B5F75">
        <w:rPr>
          <w:color w:val="2F5496" w:themeColor="accent1" w:themeShade="BF"/>
          <w:sz w:val="24"/>
        </w:rPr>
        <w:t>Einde</w:t>
      </w:r>
    </w:p>
    <w:p w:rsidR="001B5F75" w:rsidRDefault="001B5F75" w:rsidP="001B5F75">
      <w:pPr>
        <w:spacing w:after="0" w:line="240" w:lineRule="auto"/>
        <w:rPr>
          <w:i/>
          <w:color w:val="2F5496" w:themeColor="accent1" w:themeShade="BF"/>
          <w:sz w:val="24"/>
        </w:rPr>
      </w:pPr>
    </w:p>
    <w:p w:rsidR="001B5F75" w:rsidRPr="001B5F75" w:rsidRDefault="001B5F75" w:rsidP="001B5F75">
      <w:pPr>
        <w:spacing w:after="0" w:line="240" w:lineRule="auto"/>
        <w:rPr>
          <w:b/>
          <w:color w:val="2F5496" w:themeColor="accent1" w:themeShade="BF"/>
          <w:sz w:val="24"/>
        </w:rPr>
      </w:pPr>
      <w:r w:rsidRPr="001B5F75">
        <w:rPr>
          <w:b/>
          <w:color w:val="2F5496" w:themeColor="accent1" w:themeShade="BF"/>
          <w:sz w:val="24"/>
        </w:rPr>
        <w:t>Data en locaties</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21 mei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Tilburg</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Boerke Mutsaers</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22 mei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Zoetermeer</w:t>
      </w:r>
      <w:r w:rsidRPr="001B5F75">
        <w:rPr>
          <w:color w:val="2F5496" w:themeColor="accent1" w:themeShade="BF"/>
          <w:sz w:val="24"/>
        </w:rPr>
        <w:tab/>
      </w:r>
      <w:r w:rsidRPr="001B5F75">
        <w:rPr>
          <w:color w:val="2F5496" w:themeColor="accent1" w:themeShade="BF"/>
          <w:sz w:val="24"/>
        </w:rPr>
        <w:t>Golden Tulip</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28 mei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Dordrecht</w:t>
      </w:r>
      <w:r w:rsidRPr="001B5F75">
        <w:rPr>
          <w:color w:val="2F5496" w:themeColor="accent1" w:themeShade="BF"/>
          <w:sz w:val="24"/>
        </w:rPr>
        <w:tab/>
      </w:r>
      <w:r w:rsidRPr="001B5F75">
        <w:rPr>
          <w:color w:val="2F5496" w:themeColor="accent1" w:themeShade="BF"/>
          <w:sz w:val="24"/>
        </w:rPr>
        <w:t>Postillion</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3 juni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Haarlem</w:t>
      </w:r>
      <w:r w:rsidRPr="001B5F75">
        <w:rPr>
          <w:color w:val="2F5496" w:themeColor="accent1" w:themeShade="BF"/>
          <w:sz w:val="24"/>
        </w:rPr>
        <w:tab/>
      </w:r>
      <w:r w:rsidRPr="001B5F75">
        <w:rPr>
          <w:color w:val="2F5496" w:themeColor="accent1" w:themeShade="BF"/>
          <w:sz w:val="24"/>
        </w:rPr>
        <w:t>Partycentrum Haarlem</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4 juni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Arnhem</w:t>
      </w:r>
      <w:r w:rsidRPr="001B5F75">
        <w:rPr>
          <w:color w:val="2F5496" w:themeColor="accent1" w:themeShade="BF"/>
          <w:sz w:val="24"/>
        </w:rPr>
        <w:tab/>
      </w:r>
      <w:r w:rsidRPr="001B5F75">
        <w:rPr>
          <w:color w:val="2F5496" w:themeColor="accent1" w:themeShade="BF"/>
          <w:sz w:val="24"/>
        </w:rPr>
        <w:t>Postillion</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12 juni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Roermond</w:t>
      </w:r>
      <w:r w:rsidRPr="001B5F75">
        <w:rPr>
          <w:color w:val="2F5496" w:themeColor="accent1" w:themeShade="BF"/>
          <w:sz w:val="24"/>
        </w:rPr>
        <w:tab/>
      </w:r>
      <w:r w:rsidRPr="001B5F75">
        <w:rPr>
          <w:color w:val="2F5496" w:themeColor="accent1" w:themeShade="BF"/>
          <w:sz w:val="24"/>
        </w:rPr>
        <w:t>De Vlonder</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24 juni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Hoogeveen</w:t>
      </w:r>
      <w:r w:rsidRPr="001B5F75">
        <w:rPr>
          <w:color w:val="2F5496" w:themeColor="accent1" w:themeShade="BF"/>
          <w:sz w:val="24"/>
        </w:rPr>
        <w:tab/>
      </w:r>
      <w:r w:rsidRPr="001B5F75">
        <w:rPr>
          <w:color w:val="2F5496" w:themeColor="accent1" w:themeShade="BF"/>
          <w:sz w:val="24"/>
        </w:rPr>
        <w:t>De Schildhoeve</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26 juni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Bunnik</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Witte Huisjes</w:t>
      </w:r>
    </w:p>
    <w:p w:rsidR="001B5F75" w:rsidRDefault="001B5F75" w:rsidP="001B5F75">
      <w:pPr>
        <w:spacing w:after="0" w:line="240" w:lineRule="auto"/>
        <w:rPr>
          <w:color w:val="2F5496" w:themeColor="accent1" w:themeShade="BF"/>
          <w:sz w:val="24"/>
        </w:rPr>
      </w:pPr>
      <w:r w:rsidRPr="001B5F75">
        <w:rPr>
          <w:color w:val="2F5496" w:themeColor="accent1" w:themeShade="BF"/>
          <w:sz w:val="24"/>
        </w:rPr>
        <w:t>27 juni</w:t>
      </w:r>
      <w:r w:rsidRPr="001B5F75">
        <w:rPr>
          <w:color w:val="2F5496" w:themeColor="accent1" w:themeShade="BF"/>
          <w:sz w:val="24"/>
        </w:rPr>
        <w:tab/>
      </w:r>
      <w:r w:rsidRPr="001B5F75">
        <w:rPr>
          <w:color w:val="2F5496" w:themeColor="accent1" w:themeShade="BF"/>
          <w:sz w:val="24"/>
        </w:rPr>
        <w:tab/>
      </w:r>
      <w:r w:rsidRPr="001B5F75">
        <w:rPr>
          <w:color w:val="2F5496" w:themeColor="accent1" w:themeShade="BF"/>
          <w:sz w:val="24"/>
        </w:rPr>
        <w:t>Deventer</w:t>
      </w:r>
      <w:r w:rsidRPr="001B5F75">
        <w:rPr>
          <w:color w:val="2F5496" w:themeColor="accent1" w:themeShade="BF"/>
          <w:sz w:val="24"/>
        </w:rPr>
        <w:tab/>
      </w:r>
      <w:r w:rsidRPr="001B5F75">
        <w:rPr>
          <w:color w:val="2F5496" w:themeColor="accent1" w:themeShade="BF"/>
          <w:sz w:val="24"/>
        </w:rPr>
        <w:t>Postillion</w:t>
      </w:r>
    </w:p>
    <w:p w:rsidR="001B5F75" w:rsidRDefault="001B5F75" w:rsidP="001B5F75">
      <w:pPr>
        <w:spacing w:after="0" w:line="240" w:lineRule="auto"/>
        <w:rPr>
          <w:color w:val="2F5496" w:themeColor="accent1" w:themeShade="BF"/>
          <w:sz w:val="24"/>
        </w:rPr>
      </w:pPr>
    </w:p>
    <w:p w:rsidR="001B5F75" w:rsidRPr="001B5F75" w:rsidRDefault="001B5F75" w:rsidP="001B5F75">
      <w:pPr>
        <w:spacing w:after="0" w:line="240" w:lineRule="auto"/>
        <w:rPr>
          <w:b/>
          <w:color w:val="2F5496" w:themeColor="accent1" w:themeShade="BF"/>
          <w:sz w:val="24"/>
        </w:rPr>
      </w:pPr>
      <w:r w:rsidRPr="001B5F75">
        <w:rPr>
          <w:b/>
          <w:color w:val="2F5496" w:themeColor="accent1" w:themeShade="BF"/>
          <w:sz w:val="24"/>
        </w:rPr>
        <w:t>Cursusleiding</w:t>
      </w:r>
      <w:r>
        <w:rPr>
          <w:b/>
          <w:color w:val="2F5496" w:themeColor="accent1" w:themeShade="BF"/>
          <w:sz w:val="24"/>
        </w:rPr>
        <w:t xml:space="preserve"> en sprekers</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Birgit Levelink, kinderarts sociale pediatrie MUMC+, werkgroep</w:t>
      </w:r>
      <w:r>
        <w:rPr>
          <w:color w:val="2F5496" w:themeColor="accent1" w:themeShade="BF"/>
          <w:sz w:val="24"/>
        </w:rPr>
        <w:t xml:space="preserve"> </w:t>
      </w:r>
      <w:r w:rsidRPr="001B5F75">
        <w:rPr>
          <w:color w:val="2F5496" w:themeColor="accent1" w:themeShade="BF"/>
          <w:sz w:val="24"/>
        </w:rPr>
        <w:t xml:space="preserve">lid zorgstandaard ADHD namens NVK en voorzitter cursuscommissie </w:t>
      </w:r>
    </w:p>
    <w:p w:rsidR="001B5F75" w:rsidRPr="001B5F75" w:rsidRDefault="001B5F75" w:rsidP="001B5F75">
      <w:pPr>
        <w:spacing w:after="0" w:line="240" w:lineRule="auto"/>
        <w:rPr>
          <w:color w:val="2F5496" w:themeColor="accent1" w:themeShade="BF"/>
          <w:sz w:val="24"/>
        </w:rPr>
      </w:pPr>
      <w:proofErr w:type="spellStart"/>
      <w:r w:rsidRPr="001B5F75">
        <w:rPr>
          <w:color w:val="2F5496" w:themeColor="accent1" w:themeShade="BF"/>
          <w:sz w:val="24"/>
        </w:rPr>
        <w:t>Raquel</w:t>
      </w:r>
      <w:proofErr w:type="spellEnd"/>
      <w:r w:rsidRPr="001B5F75">
        <w:rPr>
          <w:color w:val="2F5496" w:themeColor="accent1" w:themeShade="BF"/>
          <w:sz w:val="24"/>
        </w:rPr>
        <w:t xml:space="preserve"> Abrahams, Jeugdarts en Arts kinder- en jeugdpsychiatrie, GGD Zaanstad-Waterland </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Gigi van de Loo-Neus, Kinder- en jeugdpsychiater, Karakter UC, Nijmegen en Arnhem, werkgroep</w:t>
      </w:r>
      <w:r>
        <w:rPr>
          <w:color w:val="2F5496" w:themeColor="accent1" w:themeShade="BF"/>
          <w:sz w:val="24"/>
        </w:rPr>
        <w:t xml:space="preserve"> </w:t>
      </w:r>
      <w:r w:rsidRPr="001B5F75">
        <w:rPr>
          <w:color w:val="2F5496" w:themeColor="accent1" w:themeShade="BF"/>
          <w:sz w:val="24"/>
        </w:rPr>
        <w:t xml:space="preserve">lid zorgstandaard ADHD namens NVVP </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 xml:space="preserve">Rob Pereira, kinderarts sociale pediatrie, MC Kinderplein, Rotterdam en vicevoorzitter werkgroep zorgstandaard ADHD </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 xml:space="preserve">Marlies van Velzen, arts Maatschappij en Gezondheid, cognitief gedragstherapeut VGCT® </w:t>
      </w:r>
    </w:p>
    <w:p w:rsidR="001B5F75" w:rsidRPr="001B5F75" w:rsidRDefault="001B5F75" w:rsidP="001B5F75">
      <w:pPr>
        <w:spacing w:after="0" w:line="240" w:lineRule="auto"/>
        <w:rPr>
          <w:b/>
          <w:color w:val="2F5496" w:themeColor="accent1" w:themeShade="BF"/>
          <w:sz w:val="24"/>
        </w:rPr>
      </w:pPr>
      <w:r>
        <w:rPr>
          <w:color w:val="2F5496" w:themeColor="accent1" w:themeShade="BF"/>
          <w:sz w:val="24"/>
        </w:rPr>
        <w:br/>
      </w:r>
      <w:r w:rsidRPr="001B5F75">
        <w:rPr>
          <w:b/>
          <w:color w:val="2F5496" w:themeColor="accent1" w:themeShade="BF"/>
          <w:sz w:val="24"/>
        </w:rPr>
        <w:t>Overige sprekers</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 xml:space="preserve">Babette Diepeveen, jeugdarts KNMG, arts Maatschappij en Gezondheid, Pro Persona, Tiel </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Barbara van den Hoofdakker, psycholoog en werkgroep</w:t>
      </w:r>
      <w:r>
        <w:rPr>
          <w:color w:val="2F5496" w:themeColor="accent1" w:themeShade="BF"/>
          <w:sz w:val="24"/>
        </w:rPr>
        <w:t xml:space="preserve"> </w:t>
      </w:r>
      <w:r w:rsidRPr="001B5F75">
        <w:rPr>
          <w:color w:val="2F5496" w:themeColor="accent1" w:themeShade="BF"/>
          <w:sz w:val="24"/>
        </w:rPr>
        <w:t xml:space="preserve">lid zorgstandaard ADHD namens NIP </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 xml:space="preserve">Nynke Kuindersma, kinderarts, fellow sociale pediatrie, UMCG en OCRN kinder- en jeugd GGZ </w:t>
      </w:r>
    </w:p>
    <w:p w:rsidR="001B5F75" w:rsidRPr="001B5F75" w:rsidRDefault="001B5F75" w:rsidP="001B5F75">
      <w:pPr>
        <w:spacing w:after="0" w:line="240" w:lineRule="auto"/>
        <w:rPr>
          <w:color w:val="2F5496" w:themeColor="accent1" w:themeShade="BF"/>
          <w:sz w:val="24"/>
        </w:rPr>
      </w:pPr>
      <w:r w:rsidRPr="001B5F75">
        <w:rPr>
          <w:color w:val="2F5496" w:themeColor="accent1" w:themeShade="BF"/>
          <w:sz w:val="24"/>
        </w:rPr>
        <w:t>Geja Rikkers, Jeugdarts KNMG, Kinderpraktijk Zoetermeer, werkgroep</w:t>
      </w:r>
      <w:r>
        <w:rPr>
          <w:color w:val="2F5496" w:themeColor="accent1" w:themeShade="BF"/>
          <w:sz w:val="24"/>
        </w:rPr>
        <w:t xml:space="preserve"> </w:t>
      </w:r>
      <w:r w:rsidRPr="001B5F75">
        <w:rPr>
          <w:color w:val="2F5496" w:themeColor="accent1" w:themeShade="BF"/>
          <w:sz w:val="24"/>
        </w:rPr>
        <w:t>lid Zorgstandaard ADHD namens AJN</w:t>
      </w:r>
    </w:p>
    <w:p w:rsidR="00B46AE4" w:rsidRPr="00B46AE4" w:rsidRDefault="00B46AE4" w:rsidP="00B46AE4">
      <w:pPr>
        <w:spacing w:after="0" w:line="240" w:lineRule="auto"/>
        <w:rPr>
          <w:i/>
          <w:color w:val="2F5496" w:themeColor="accent1" w:themeShade="BF"/>
          <w:sz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46AE4" w:rsidRPr="00B46AE4" w:rsidTr="001B5F75">
        <w:trPr>
          <w:tblCellSpacing w:w="0" w:type="dxa"/>
        </w:trPr>
        <w:tc>
          <w:tcPr>
            <w:tcW w:w="0" w:type="auto"/>
            <w:shd w:val="clear" w:color="auto" w:fill="FFFFFF"/>
            <w:vAlign w:val="center"/>
            <w:hideMark/>
          </w:tcPr>
          <w:tbl>
            <w:tblPr>
              <w:tblpPr w:leftFromText="141" w:rightFromText="141" w:vertAnchor="text" w:horzAnchor="margin" w:tblpY="56"/>
              <w:tblOverlap w:val="never"/>
              <w:tblW w:w="0" w:type="auto"/>
              <w:tblCellSpacing w:w="15" w:type="dxa"/>
              <w:tblLook w:val="04A0" w:firstRow="1" w:lastRow="0" w:firstColumn="1" w:lastColumn="0" w:noHBand="0" w:noVBand="1"/>
            </w:tblPr>
            <w:tblGrid>
              <w:gridCol w:w="51"/>
              <w:gridCol w:w="990"/>
            </w:tblGrid>
            <w:tr w:rsidR="00B46AE4" w:rsidRPr="00B46AE4" w:rsidTr="00B46AE4">
              <w:trPr>
                <w:tblCellSpacing w:w="15" w:type="dxa"/>
              </w:trPr>
              <w:tc>
                <w:tcPr>
                  <w:tcW w:w="0" w:type="auto"/>
                  <w:shd w:val="clear" w:color="auto" w:fill="FFFFFF"/>
                  <w:tcMar>
                    <w:top w:w="0" w:type="dxa"/>
                    <w:left w:w="0" w:type="dxa"/>
                    <w:bottom w:w="0" w:type="dxa"/>
                    <w:right w:w="0" w:type="dxa"/>
                  </w:tcMar>
                  <w:vAlign w:val="center"/>
                  <w:hideMark/>
                </w:tcPr>
                <w:p w:rsidR="00B46AE4" w:rsidRPr="00B46AE4" w:rsidRDefault="00B46AE4" w:rsidP="00B46AE4">
                  <w:pPr>
                    <w:rPr>
                      <w:i/>
                    </w:rPr>
                  </w:pPr>
                  <w:r>
                    <w:rPr>
                      <w:i/>
                    </w:rPr>
                    <w:br/>
                  </w:r>
                </w:p>
              </w:tc>
              <w:tc>
                <w:tcPr>
                  <w:tcW w:w="0" w:type="auto"/>
                  <w:shd w:val="clear" w:color="auto" w:fill="FFFFFF"/>
                  <w:tcMar>
                    <w:top w:w="0" w:type="dxa"/>
                    <w:left w:w="0" w:type="dxa"/>
                    <w:bottom w:w="0" w:type="dxa"/>
                    <w:right w:w="0" w:type="dxa"/>
                  </w:tcMar>
                  <w:vAlign w:val="center"/>
                  <w:hideMark/>
                </w:tcPr>
                <w:p w:rsidR="00B46AE4" w:rsidRPr="00B46AE4" w:rsidRDefault="00B46AE4" w:rsidP="00B46AE4">
                  <w:pPr>
                    <w:rPr>
                      <w:i/>
                    </w:rPr>
                  </w:pPr>
                  <w:r w:rsidRPr="00B46AE4">
                    <w:rPr>
                      <w:i/>
                    </w:rPr>
                    <w:t> </w:t>
                  </w:r>
                </w:p>
                <w:p w:rsidR="00B46AE4" w:rsidRPr="00B46AE4" w:rsidRDefault="00571E93" w:rsidP="00B46AE4">
                  <w:pPr>
                    <w:rPr>
                      <w:i/>
                    </w:rPr>
                  </w:pPr>
                  <w:r>
                    <w:rPr>
                      <w:b/>
                      <w:bCs/>
                      <w:i/>
                    </w:rPr>
                    <w:t xml:space="preserve">   </w:t>
                  </w:r>
                  <w:r w:rsidR="00B46AE4" w:rsidRPr="00B46AE4">
                    <w:rPr>
                      <w:b/>
                      <w:bCs/>
                      <w:i/>
                    </w:rPr>
                    <w:t xml:space="preserve">         </w:t>
                  </w:r>
                  <w:r>
                    <w:rPr>
                      <w:b/>
                      <w:bCs/>
                      <w:i/>
                    </w:rPr>
                    <w:t xml:space="preserve">      </w:t>
                  </w:r>
                  <w:r w:rsidR="00B46AE4" w:rsidRPr="00B46AE4">
                    <w:rPr>
                      <w:b/>
                      <w:bCs/>
                      <w:i/>
                    </w:rPr>
                    <w:t> </w:t>
                  </w:r>
                </w:p>
              </w:tc>
            </w:tr>
          </w:tbl>
          <w:p w:rsidR="00B46AE4" w:rsidRPr="00B46AE4" w:rsidRDefault="00B46AE4" w:rsidP="00B46AE4">
            <w:pPr>
              <w:rPr>
                <w:b/>
                <w:bCs/>
                <w:i/>
              </w:rPr>
            </w:pPr>
          </w:p>
        </w:tc>
      </w:tr>
    </w:tbl>
    <w:p w:rsidR="00B46AE4" w:rsidRPr="00B46AE4" w:rsidRDefault="00B46AE4" w:rsidP="00B46AE4">
      <w:pPr>
        <w:rPr>
          <w:i/>
          <w:vanish/>
        </w:rPr>
      </w:pPr>
    </w:p>
    <w:sectPr w:rsidR="00B46AE4" w:rsidRPr="00B46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mailMerge>
    <w:mainDocumentType w:val="email"/>
    <w:linkToQuery/>
    <w:dataType w:val="native"/>
    <w:connectString w:val="Provider=Microsoft.ACE.OLEDB.12.0;User ID=Admin;Data Source=C:\Users\De Baar Advies\De Baar Advies en Organisatie\De Baar Advies en Organisatie\ADHD gedragsstoornissen scholing\mailbestand secretariaten kindergeneeskunde maart 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1$`"/>
    <w:dataSource r:id="rId1"/>
    <w:odso>
      <w:udl w:val="Provider=Microsoft.ACE.OLEDB.12.0;User ID=Admin;Data Source=C:\Users\De Baar Advies\De Baar Advies en Organisatie\De Baar Advies en Organisatie\ADHD gedragsstoornissen scholing\mailbestand secretariaten kindergeneeskunde maart 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lad1$"/>
      <w:src r:id="rId2"/>
      <w:colDelim w:val="9"/>
      <w:type w:val="database"/>
      <w:fHdr/>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type w:val="dbColumn"/>
        <w:name w:val="e-mailadres"/>
        <w:mappedName w:val="E-mailadres"/>
        <w:column w:val="0"/>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fieldMapData>
        <w:lid w:val="nl-NL"/>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E4"/>
    <w:rsid w:val="00150B1D"/>
    <w:rsid w:val="001B5F75"/>
    <w:rsid w:val="001C45D7"/>
    <w:rsid w:val="00323192"/>
    <w:rsid w:val="00571E93"/>
    <w:rsid w:val="006B2BDD"/>
    <w:rsid w:val="00974A02"/>
    <w:rsid w:val="009C4F0D"/>
    <w:rsid w:val="00B46AE4"/>
    <w:rsid w:val="00B53479"/>
    <w:rsid w:val="00D47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31677C6"/>
  <w15:chartTrackingRefBased/>
  <w15:docId w15:val="{DE233C69-2E19-4255-85CA-B9637645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6A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AE4"/>
    <w:rPr>
      <w:rFonts w:ascii="Segoe UI" w:hAnsi="Segoe UI" w:cs="Segoe UI"/>
      <w:sz w:val="18"/>
      <w:szCs w:val="18"/>
    </w:rPr>
  </w:style>
  <w:style w:type="character" w:styleId="Hyperlink">
    <w:name w:val="Hyperlink"/>
    <w:basedOn w:val="Standaardalinea-lettertype"/>
    <w:uiPriority w:val="99"/>
    <w:unhideWhenUsed/>
    <w:rsid w:val="00B46AE4"/>
    <w:rPr>
      <w:color w:val="0563C1" w:themeColor="hyperlink"/>
      <w:u w:val="single"/>
    </w:rPr>
  </w:style>
  <w:style w:type="character" w:styleId="Onopgelostemelding">
    <w:name w:val="Unresolved Mention"/>
    <w:basedOn w:val="Standaardalinea-lettertype"/>
    <w:uiPriority w:val="99"/>
    <w:semiHidden/>
    <w:unhideWhenUsed/>
    <w:rsid w:val="00B46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De%20Baar%20Advies\De%20Baar%20Advies%20en%20Organisatie\De%20Baar%20Advies%20en%20Organisatie\ADHD%20gedragsstoornissen%20scholing\mailbestand%20secretariaten%20kindergeneeskunde%20maart%202019.xlsx" TargetMode="External"/><Relationship Id="rId1" Type="http://schemas.openxmlformats.org/officeDocument/2006/relationships/mailMergeSource" Target="file:///C:\Users\De%20Baar%20Advies\De%20Baar%20Advies%20en%20Organisatie\De%20Baar%20Advies%20en%20Organisatie\ADHD%20gedragsstoornissen%20scholing\mailbestand%20secretariaten%20kindergeneeskunde%20maart%202019.xls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522</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Baar</dc:creator>
  <cp:keywords/>
  <dc:description/>
  <cp:lastModifiedBy>Eric de Baar</cp:lastModifiedBy>
  <cp:revision>1</cp:revision>
  <dcterms:created xsi:type="dcterms:W3CDTF">2019-03-14T13:04:00Z</dcterms:created>
  <dcterms:modified xsi:type="dcterms:W3CDTF">2019-03-18T13:47:00Z</dcterms:modified>
</cp:coreProperties>
</file>